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2B" w:rsidRDefault="00C5392B"/>
    <w:tbl>
      <w:tblPr>
        <w:tblStyle w:val="a5"/>
        <w:tblW w:w="139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2565"/>
        <w:gridCol w:w="1815"/>
        <w:gridCol w:w="2100"/>
        <w:gridCol w:w="2220"/>
        <w:gridCol w:w="1470"/>
        <w:gridCol w:w="1935"/>
        <w:gridCol w:w="1290"/>
      </w:tblGrid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блок проекта «КУЛЬТУРА ДЛЯ ШКОЛЬНИКОВ» - «КУЛЬТПОХОД»</w:t>
            </w:r>
          </w:p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Предполагает организованные выезды обучающихся в учреждения культуры на спектакли, концерты, выставки, кинопоказы, экскурсии, фестивали,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радиоспектакли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др. Рекомендуется проводить ежемесячно при наличии возможностей учреждений культуры и образовательн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ой организации конкретного населенного пункта.</w:t>
            </w:r>
          </w:p>
          <w:p w:rsidR="00C5392B" w:rsidRDefault="0076018A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Данный блок является обязательным для всех школьников и предполагает организованные выезды обучающихся (по возрастным группам) вместе с ответственным педагогическим работником (классным руководителем) в учр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еждения культуры на мероприятия в соответствии с утвержденным планом «Культпохода».</w:t>
            </w:r>
          </w:p>
          <w:p w:rsidR="00C5392B" w:rsidRDefault="0076018A">
            <w:pPr>
              <w:keepNext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Наиболее оптимальный режим посещения школьн</w:t>
            </w:r>
            <w:r w:rsidR="008D5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иками каждой возрастной группы</w:t>
            </w:r>
            <w:r w:rsidR="008D52AE" w:rsidRPr="008D52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учреждений культуры и участия в культурных мероприятиях в рамках «Культпоходов»: один раз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месяц. Соответственно, эффективно Проект будет реализовываться, если школьник посетит 7 мероприятий (по одному мероприятию по каждому направлению искусства).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5392B" w:rsidRDefault="00C5392B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(спектакль, кинопоказ, концерт, выставка, экскурсия и т.д.)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Учреждение культуры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Оптимальная численность уч-ся (чел.) для посещения учреждения культуры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Контактное лицо (ФИО, тел.)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“К</w:t>
            </w:r>
            <w:r w:rsidR="008D52AE">
              <w:rPr>
                <w:rFonts w:ascii="Times New Roman" w:eastAsia="Times New Roman" w:hAnsi="Times New Roman" w:cs="Times New Roman"/>
                <w:b/>
              </w:rPr>
              <w:t xml:space="preserve">оляда-коляда -отворяй </w:t>
            </w:r>
            <w:proofErr w:type="gramStart"/>
            <w:r w:rsidR="008D52AE">
              <w:rPr>
                <w:rFonts w:ascii="Times New Roman" w:eastAsia="Times New Roman" w:hAnsi="Times New Roman" w:cs="Times New Roman"/>
                <w:b/>
              </w:rPr>
              <w:t>ворота”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программа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имени братьев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Севостьянова Т.В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2.</w:t>
            </w: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76018A">
            <w:pPr>
              <w:widowControl w:val="0"/>
              <w:spacing w:line="240" w:lineRule="auto"/>
            </w:pPr>
            <w:r>
              <w:t xml:space="preserve">   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“По заставам богатырским, по Руси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былинной”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Игра-путешествие (День былинного богатыря Ильи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Муромца”)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2022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братьев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Каданцева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Что 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чудо этот дом”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де-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мл.возрас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-та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-ку.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МБУК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братьев Сафоновых.”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С.А.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Мультики - ожидание чуда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кино чудес и удивлений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8-910-568-25-72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“Художнику мультипликатору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Котеночкину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- 95 лет”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с просмотром мультфильмов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Каданцева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3.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“Здравствуй, Атом”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с просмотром мультфильма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2021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В.А.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Времена года в изобразительном искусстве.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познание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Алешина Т.А.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8-910-568-33-24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“Я только слышал о войне”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детских работ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2022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Сероухова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Загадка - ума зарядка.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фольклора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Перепелова Г.В.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8-980-501-00-18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“Рождественские колядки”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Холкина Т.В.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“Вместе весело шагать”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Музыкальная композиция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Каданцева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lastRenderedPageBreak/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Музыкальная игровая программа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2021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Герасина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3.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“В мире детских песен”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батл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2022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Герасина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“Серебряная дудочка”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Сказочный спектакль по произведению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А.Толстого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Петина Н.Д.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“Как кот воеводою был”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Кукольный спектакль по русской народной сказке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2022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О.Н.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Усадьба помещика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Кормилицина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Д.Л.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по территории музея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8-910-568-25-72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5-8 классы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5392B" w:rsidRDefault="00C5392B">
            <w:pPr>
              <w:widowControl w:val="0"/>
              <w:spacing w:line="240" w:lineRule="auto"/>
              <w:jc w:val="center"/>
            </w:pPr>
          </w:p>
        </w:tc>
      </w:tr>
      <w:tr w:rsidR="00C5392B">
        <w:trPr>
          <w:trHeight w:val="97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Сказки дедушки Корнея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Литературный час 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К.И.Чуковского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Перепелова Г.В.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8-980-501-00-18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Народный поэт земли русской (200 лет Н. А. Некрасову)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Литературная гостиная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Каданцева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 xml:space="preserve">3. </w:t>
            </w: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“Волшебный мир Аксакова”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Литературная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Севостьянова Т. В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1247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Писатель.Историк.Солдат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Митяевские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чтения”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2022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С.А.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Знаете ли вы российское кино?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Киновикторина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8-910-568-25-72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lastRenderedPageBreak/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“У Лукоморья дуб зелёный”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с просмотром мультфильма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Деева А.А.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Знакомство школьников с предметами изобразительного искусства в музее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Алешина Т.А.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8-910-568-33-24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“Поэт природы</w:t>
            </w:r>
            <w:r w:rsidR="008D52AE" w:rsidRPr="008D52A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(190 лет со дня рождения художника И. И. Шишкина)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Барышникова Н. А.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3.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“Я мечтаю стать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рисунков (по профессиям)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Сероухова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Народные художественные промыслы в России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8-910-568-33-24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“Танцевальное искусство в годы ВОВ”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-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- презентация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районный Дом культуры"</w:t>
            </w:r>
            <w:r>
              <w:rPr>
                <w:rFonts w:ascii="Times New Roman" w:eastAsia="Times New Roman" w:hAnsi="Times New Roman" w:cs="Times New Roman"/>
              </w:rPr>
              <w:t xml:space="preserve"> (Народный любительский художественный коллектив Рязанской области хореографический ансамбль "Фантазия")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Степакина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3.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“Искусство танца”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Районный фестиваль хореографического искусства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2022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Степакина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Обыкновенный волшебник (Геннадий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Гладков)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 информации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им.бр.Сафоновых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”.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 В.Н.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«Весёлые нотки»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Районный фестиваль детских творческих коллективов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Вершицкий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Музыкальная шкатулка”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Музыкально-познавательная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Апрель 2022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районный Дом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Топильская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Мы пришли в театр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театра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Алешина Т.А.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8-910-568-33-24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“Сон в летнюю ночь”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фэнтези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Петина Н.Д.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“Мельпомена собирает друзей”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Районный фестиваль театральных коллективов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8D52A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26 -27 марта </w:t>
            </w:r>
            <w:bookmarkStart w:id="0" w:name="_GoBack"/>
            <w:bookmarkEnd w:id="0"/>
            <w:r w:rsidR="0076018A">
              <w:rPr>
                <w:rFonts w:ascii="Times New Roman" w:eastAsia="Times New Roman" w:hAnsi="Times New Roman" w:cs="Times New Roman"/>
              </w:rPr>
              <w:t xml:space="preserve">2022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Петина Н.Д.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Николо-Бавыкинского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монастыря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Исторический экскурс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8-910-568-33-24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“Золотая роза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Паустовского”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Передвижной выставочной проект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Севостьянова М.А.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 xml:space="preserve">2.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“Петр Первый-Великий реформатор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истории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            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Саморукова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 xml:space="preserve">3.     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“Я вам завещаю, что я еще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могу”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Литературно-музыкальная композиция, посвященная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А.Твардовского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             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Саморукова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“Герой нашего времени”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 с обсуждением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2021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Ванюшкина Л.В.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“Гроза”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Телеспектакль по пьесе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А.Н.Островского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2022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В.А.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Ночь искусств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акция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8-910-568-25-72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 xml:space="preserve">2.      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Ночь искусств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акция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им.братьев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13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Саморукова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“Состояние души художника”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Выставка-презентация работ художника-любителя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В.В. (житель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с.Можары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Ванюшкина Л.В.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5392B">
        <w:trPr>
          <w:trHeight w:val="1821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 вас товар, у нас купец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традициями старинного русского обряда - сватовства.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Алешина Т.А.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8-910-568-33-24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lastRenderedPageBreak/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“Праздник русской берёзке”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Интерактивная  программа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</w:t>
            </w: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Деева А.А.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“Скрябин А.М и русская музыка” (150 лет со дня рождения)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Литературно-музыкальная композиция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 В.Н.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color w:val="434343"/>
              </w:rPr>
            </w:pPr>
            <w:r>
              <w:rPr>
                <w:color w:val="434343"/>
              </w:rP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“Современный композитор”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Музыкальная беседа о русских композиторах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Грачева Ю.И.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Такие разные театры.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 вечер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8-910-568-25-72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 xml:space="preserve">2.     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Рязанский театр Драмы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информации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            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Барышникова Н.А.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3.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“Пугачёв”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Поэтический спектакль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одноименному произведению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С.А.Есенина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Ноябрь 2021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Петина Н.Д.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 архитектурном контексте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фотографий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Перепелова Г.В.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8-980-501-00-18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Рязанский  Кремль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Час  истории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           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Барышникова Н.А.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блок проекта «КУЛЬТУРА ДЛЯ ШКОЛЬНИКОВ» - «КУЛЬТУРНЫЙ КЛУБ»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групп: встречи, беседы, интервью с известными людьми (писателями, поэтами, артистами,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художниками и др.), с деятелями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игры, викторины по произведениям искусства, вечера (литературные, музыкальные, культурные и т.п.), флэш-мобы, путешествия, спектакли, кинопоказы, лекции-семинары, и т.д.</w:t>
            </w:r>
          </w:p>
          <w:p w:rsidR="00C5392B" w:rsidRDefault="0076018A">
            <w:pPr>
              <w:widowControl w:val="0"/>
              <w:spacing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мероприятиях данного блока школьн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ики участвуют по желанию и по интересам, мероприятия выбирают самостоятельно. Каждый месяц учреждения культуры организуют культурные мероприятия по каждому направлению искусства для каждой возрастной группы. Главной функциональной задачей данного блока явл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яется предоставление школьникам возможности получить специальные знания, навыки и умения в области культуры и искусства. Рекомендуется учреждениям культуры проводить данные мероприятия на регулярной основе по каждому направлению (литература, изобразительно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 искусство, архитектура, народная культура, музыка, театр, кинематограф), тем самым обеспечивая возможность удовлетворения интересов каждого школьника.</w:t>
            </w:r>
          </w:p>
          <w:p w:rsidR="00C5392B" w:rsidRDefault="0076018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Виды организации взаимодействия с произведениями искусства: мастер-классы, встречи, беседы, интервью с деятелями культуры (писателями, поэтами, артистами, художниками и др.),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игры, викторины по произведениям искусства, вечера (литературн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ые, музыкальные, культурные и т.п.), флэш-мобы, путешествия, спектакли, кинопоказы, лекции-семинары и др.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5392B" w:rsidRDefault="0076018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(мастер-класс, встреча, беседа, интервью,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игра, викторина и т.д.)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культуры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Оптимальная численность учащихся (чел.) для посещения учреждения культуры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Контактное лицо (ФИО, тел.)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следам русских сказок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-игра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Алешина Т.А.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8-910-568-33-24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 xml:space="preserve">2.      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“Волшебный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мир  зверей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и птиц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творчества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районная библиотека” (клуб по интересам “Не скучай”)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Каданцева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3.</w:t>
            </w: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76018A">
            <w:pPr>
              <w:widowControl w:val="0"/>
              <w:spacing w:line="240" w:lineRule="auto"/>
            </w:pPr>
            <w:r>
              <w:t xml:space="preserve">   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“Мудрый дедушка Корней”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МБУК“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библиотека”(клуб по интересам “Не скучай”)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С.А.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lastRenderedPageBreak/>
              <w:t>4.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“Лучшая защита птиц-забота”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библиотек</w:t>
            </w:r>
            <w:proofErr w:type="gram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библиотека” (клуб по интересам “Не скучай”).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Севостьянова Т.В.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“Оля, Коля и Архимед”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 мультипликационного фильма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Барсуков Ю.А.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“С любовью к природе и деткам”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мастер-класс (поделки из природных материалов)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Перепелова Г.В.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8-980-501-00-18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 xml:space="preserve">2.     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“Забавные герои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Э.Успенского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(клуб по интересам “Не скучай”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Севостьянова Т.В.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“Грач на горе- весна на дворе”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о старинном обычае встречи весны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8-910-568-25-72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“Хоровод - основной жанр русского танца”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Открытое занятие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2021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 (Народный любительский художественный коллектив Рязанской области хореографический ансамбль "Фантазия</w:t>
            </w:r>
            <w:r>
              <w:rPr>
                <w:rFonts w:ascii="Times New Roman" w:eastAsia="Times New Roman" w:hAnsi="Times New Roman" w:cs="Times New Roman"/>
              </w:rPr>
              <w:t>")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Степакина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“Песни из мультфильмов”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Музыкальная викторина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Сероухова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“Работа над ролью”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2021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Петина Н.Д.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5392B">
        <w:trPr>
          <w:trHeight w:val="981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“Старая пословица,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до веку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не сломится”</w:t>
            </w:r>
          </w:p>
          <w:p w:rsidR="00C5392B" w:rsidRDefault="0076018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Игра-Викторина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Алешина Т.А.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8-910-568-33-24                                       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175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“Знает Север, знает юг, пионер-хороший друг”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посвященный 100-летию пионерии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(клуб по интересам “Не скучай”)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Каданцева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3.</w:t>
            </w: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“От знаков к буквам, от бересты к страницам”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 путешествие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бр.Сафоновых</w:t>
            </w:r>
            <w:proofErr w:type="spellEnd"/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С.А.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“История жизни великого человека” (160 лет со дня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К.Э.Циолковского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  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Литературный вечер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имени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бр.Сафоновых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клуб по интересам “Не скучай”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Севостьянова Т.В.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Любимый сказочный герой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мастер-класс (лепка, поделка, рисование)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краеведческий  музей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Перепелова Г.В.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8-980-501-00-18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“Акварельная поляна”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художником Рагозин И.Н.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Ванюшкина Л.В.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  <w:p w:rsidR="00C5392B" w:rsidRDefault="00C539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Ночь музеев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акция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8-910-568-25-72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Развитие певческого дыхания с помощью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упражнений”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Открытый урок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районный Дом культуры"</w:t>
            </w:r>
          </w:p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(вокальная группа "Ваниль")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Герасина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“Свободный голос в русской песни”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2022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 (Народный любительский художественный коллектив Рязанской области хор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Зори)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Егорова Л.В.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“Голубое и розовое”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Тематическая беседа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 пьесе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А.Бруштейн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2022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Петина Н.Н.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 в песнях, и в стихах пусть процветает край родной.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вечер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8-910-568-25-72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“Волшебный мир театра”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Сафоновых””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Саморукова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3.</w:t>
            </w: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C5392B">
            <w:pPr>
              <w:widowControl w:val="0"/>
              <w:spacing w:line="240" w:lineRule="auto"/>
            </w:pPr>
          </w:p>
          <w:p w:rsidR="00C5392B" w:rsidRDefault="0076018A">
            <w:pPr>
              <w:widowControl w:val="0"/>
              <w:spacing w:line="240" w:lineRule="auto"/>
            </w:pPr>
            <w:r>
              <w:t xml:space="preserve"> 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“Путешествие по романам Ф.М.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Достоевского”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Литературный 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круиз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2021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библиотека”(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клуб интересных встреч)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Кулагина М.М.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“Красота, живущая в стихах”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поэзии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Р.Казакова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Б.Ахмадулина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братьев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Саморукова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 xml:space="preserve">1.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Орлова Л.П. (120 лет со дня рождения)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Вечер-портрет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Барышникова Н. А.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lastRenderedPageBreak/>
              <w:t xml:space="preserve">2. 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Вишневый сад”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Телеспектакль по одноименной пьесе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А.П.Чехова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В.А.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“И вновь фантазии полёт на чистые холсты ложится”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с показом репродукций произведений русских художников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8-910-568-25-72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Леонардо да Винчи - - “человек - загадка”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Книжная выставка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Барышникова Н.А.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3.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“Мысли и образы”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Персональная выставка художника-любителя Холкина Т.А.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Ванюшкина Л.В.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Каравайцы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от курочки-рябы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Кулинарный мастер-класс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краеведческий музей”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Алешина Т.А.</w:t>
            </w:r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8-910-568-33-24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“Скрипач - виртуоз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Никколо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Паганини”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 - портрет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ба.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Саморукова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 М.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</w:pPr>
            <w: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“Ритмы современной музыки”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Мини-концерт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 (вокальной группы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 МБУК МРДК)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Грачёва Ю.И.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Артист балета - Андрис Лиепа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информации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районная библиотека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Сафоновых”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Волков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А.Н..</w:t>
            </w:r>
            <w:proofErr w:type="gram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“Жестокие игры”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2022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Петина Н.Д.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АРХИТЕКТУРА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блок проекта «КУЛЬТУРА ДЛЯ ШКОЛЬНИКОВ» - «ЦИФРОВАЯ КУЛЬТУРА»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ind w:left="-100" w:firstLine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Третий блок, обеспечивающий возможность удаленного доступа к произведениям искусства, представленным в цифровом формате в виде аудио-, видеозаписей спектаклей, концертов, кинофильмов, виртуальных экскурсий и т.д.</w:t>
            </w:r>
          </w:p>
          <w:p w:rsidR="00C5392B" w:rsidRDefault="0076018A">
            <w:pPr>
              <w:widowControl w:val="0"/>
              <w:spacing w:line="240" w:lineRule="auto"/>
              <w:ind w:left="-100" w:firstLine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обеспечения удаленного доступа обучающи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хся к произведениям искусства, рекомендуется использовать специализированные порталы о культуре, на которых представлены лучшие образцы произведений искусства.</w:t>
            </w:r>
          </w:p>
          <w:p w:rsidR="00C5392B" w:rsidRDefault="0076018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Виды организации взаимодействия с произведениями культуры: мультимедийная форма (аудио-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видеозаписи спектаклей, театральных постановок, концертов, концертных номеров, кинофильмов, встреч, литературных вечеров, выступлений артистов, выставок, экскурсий и др.).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392B" w:rsidRDefault="0076018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мероприятия и форма (аудио-, видеозаписи спектаклей, театральных постановок, концертов, концертных номеров и т.д.)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культуры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Видео-иллюстраторский проект «Читаем Сент-Экзюпери»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ГБУК РО “ИАЦ культуры и туризма”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Ведущий мастер сцены Рязанского театра драмы Валерий Рыжков читает отрывки повести-сказки “Маленький принц”, проиллюстрированные Евгенией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Долматович</w:t>
            </w:r>
            <w:proofErr w:type="spellEnd"/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https://vk.com/video/@kinodebut62?z=video-192104679_456239023%2Fclub192104679</w:t>
              </w:r>
            </w:hyperlink>
          </w:p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https://vk.com/video/@kinodebut62?z=video-192104679_456239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034%2Fclub192104679</w:t>
              </w:r>
            </w:hyperlink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Видеозапись “Любимым папам посвящается…”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Концертные номера ко Дню Защитника Отечества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http://dk-sarai.ru/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Видеозапись спектакля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Спектакль по произведению Г.Х.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Андесна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http://dk-sarai.ru/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Видеозапись “Пришла коляда, отворяй ворота”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Театрализованное представление календарно-обрядового праздника Святки  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http://dk-sarai.ru/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Видеозапись “За Русь святую, за землю русскую”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Концертные номера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посвященные Александру Ярославовичу Невскому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http://dk-sarai.ru/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Видеозапись спектакля “Голубое и розовое”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Спектакль по одноименной пьесе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А.Бруштейн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http://dk-sarai.ru/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Фильм-размышление по книге рязанских авторов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А.Анитова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Е.Баранцева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Война.Письма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домой”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ГБУК РО “ИАЦ культуры и туризма”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Фильм, созданный по мотивам одноименной книги рязанских авторов, рассказывает о судьбе юноши, ушедшего в 18 лет на фронт Великой Отечественной Войны.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https://vk.com/video/@kinodebut62?z=video-192104679_456239070%2Fclub192104679</w:t>
              </w:r>
            </w:hyperlink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Видеозапись театрализованной программы “Капустные вечерки”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Театрализованная программа народного праздника "Сергей Капустник"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http://dk-sarai.ru/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Сольный концерт солистки ансамбля народной музыки “Ока” Марии Видяпиной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ГБУК “ИАЦ культуры и туризма”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видеоконцерте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солистка исполняет песни, в которых отражаются культурные особенности нашей страны. В программе звучат удалые русские народные песни, лирические композиции советских авторов, а также авторские песни исполнитель</w:t>
            </w:r>
            <w:r>
              <w:rPr>
                <w:rFonts w:ascii="Times New Roman" w:eastAsia="Times New Roman" w:hAnsi="Times New Roman" w:cs="Times New Roman"/>
              </w:rPr>
              <w:t>ницы.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https://vk.com/video/@kinodebut62?z=video-192104679_456239035%2Fclub192104679</w:t>
              </w:r>
            </w:hyperlink>
          </w:p>
          <w:p w:rsidR="00C5392B" w:rsidRDefault="00C539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Видеоролик “Сказание о Петре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Муромских”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Сказание о Петре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Муромских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http://dk-sarai.ru/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Видеозапись спектакля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“Красное вино Победы “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МБУК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районный Дом культуры"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Патриотический спектакль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одноименному произведению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Е.Носова</w:t>
            </w:r>
            <w:proofErr w:type="spellEnd"/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http://dk-sarai.ru/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392B">
        <w:trPr>
          <w:trHeight w:val="462"/>
        </w:trPr>
        <w:tc>
          <w:tcPr>
            <w:tcW w:w="13980" w:type="dxa"/>
            <w:gridSpan w:val="8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76018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C5392B">
        <w:trPr>
          <w:trHeight w:val="462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92B" w:rsidRDefault="00C5392B">
            <w:pPr>
              <w:widowControl w:val="0"/>
              <w:spacing w:line="240" w:lineRule="auto"/>
            </w:pPr>
          </w:p>
        </w:tc>
      </w:tr>
    </w:tbl>
    <w:p w:rsidR="00C5392B" w:rsidRDefault="00C5392B"/>
    <w:p w:rsidR="00C5392B" w:rsidRDefault="00C5392B"/>
    <w:p w:rsidR="00C5392B" w:rsidRDefault="00C5392B"/>
    <w:p w:rsidR="00C5392B" w:rsidRDefault="00C5392B"/>
    <w:p w:rsidR="00C5392B" w:rsidRDefault="00C5392B"/>
    <w:sectPr w:rsidR="00C5392B">
      <w:footerReference w:type="default" r:id="rId18"/>
      <w:pgSz w:w="16834" w:h="11909" w:orient="landscape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8A" w:rsidRDefault="0076018A">
      <w:pPr>
        <w:spacing w:line="240" w:lineRule="auto"/>
      </w:pPr>
      <w:r>
        <w:separator/>
      </w:r>
    </w:p>
  </w:endnote>
  <w:endnote w:type="continuationSeparator" w:id="0">
    <w:p w:rsidR="0076018A" w:rsidRDefault="00760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B" w:rsidRDefault="00C5392B"/>
  <w:tbl>
    <w:tblPr>
      <w:tblStyle w:val="a6"/>
      <w:tblW w:w="14295" w:type="dxa"/>
      <w:tblInd w:w="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673"/>
      <w:gridCol w:w="2075"/>
      <w:gridCol w:w="1475"/>
      <w:gridCol w:w="3193"/>
      <w:gridCol w:w="2723"/>
      <w:gridCol w:w="2156"/>
    </w:tblGrid>
    <w:tr w:rsidR="00C5392B">
      <w:trPr>
        <w:trHeight w:val="462"/>
      </w:trPr>
      <w:tc>
        <w:tcPr>
          <w:tcW w:w="2475" w:type="dxa"/>
          <w:tcBorders>
            <w:top w:val="nil"/>
            <w:left w:val="nil"/>
            <w:bottom w:val="nil"/>
            <w:right w:val="nil"/>
          </w:tcBorders>
        </w:tcPr>
        <w:p w:rsidR="00C5392B" w:rsidRDefault="00C5392B">
          <w:pPr>
            <w:spacing w:line="240" w:lineRule="auto"/>
          </w:pPr>
        </w:p>
      </w:tc>
      <w:tc>
        <w:tcPr>
          <w:tcW w:w="1920" w:type="dxa"/>
          <w:tcBorders>
            <w:top w:val="nil"/>
            <w:left w:val="nil"/>
            <w:bottom w:val="nil"/>
            <w:right w:val="nil"/>
          </w:tcBorders>
        </w:tcPr>
        <w:p w:rsidR="00C5392B" w:rsidRDefault="00C5392B">
          <w:pPr>
            <w:spacing w:line="240" w:lineRule="auto"/>
          </w:pPr>
        </w:p>
      </w:tc>
      <w:tc>
        <w:tcPr>
          <w:tcW w:w="1365" w:type="dxa"/>
          <w:tcBorders>
            <w:top w:val="nil"/>
            <w:left w:val="nil"/>
            <w:bottom w:val="nil"/>
            <w:right w:val="nil"/>
          </w:tcBorders>
        </w:tcPr>
        <w:p w:rsidR="00C5392B" w:rsidRDefault="00C5392B">
          <w:pPr>
            <w:spacing w:line="240" w:lineRule="auto"/>
          </w:pPr>
        </w:p>
      </w:tc>
      <w:tc>
        <w:tcPr>
          <w:tcW w:w="2955" w:type="dxa"/>
          <w:tcBorders>
            <w:top w:val="nil"/>
            <w:left w:val="nil"/>
            <w:bottom w:val="nil"/>
            <w:right w:val="nil"/>
          </w:tcBorders>
        </w:tcPr>
        <w:p w:rsidR="00C5392B" w:rsidRDefault="00C5392B">
          <w:pPr>
            <w:spacing w:line="240" w:lineRule="auto"/>
          </w:pP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</w:tcPr>
        <w:p w:rsidR="00C5392B" w:rsidRDefault="00C5392B">
          <w:pPr>
            <w:spacing w:line="240" w:lineRule="auto"/>
          </w:pPr>
        </w:p>
      </w:tc>
      <w:tc>
        <w:tcPr>
          <w:tcW w:w="1995" w:type="dxa"/>
          <w:tcBorders>
            <w:top w:val="nil"/>
            <w:left w:val="nil"/>
            <w:bottom w:val="nil"/>
            <w:right w:val="nil"/>
          </w:tcBorders>
        </w:tcPr>
        <w:p w:rsidR="00C5392B" w:rsidRDefault="00C5392B">
          <w:pPr>
            <w:spacing w:line="240" w:lineRule="auto"/>
          </w:pPr>
        </w:p>
      </w:tc>
    </w:tr>
  </w:tbl>
  <w:p w:rsidR="00C5392B" w:rsidRDefault="00C539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8A" w:rsidRDefault="0076018A">
      <w:pPr>
        <w:spacing w:line="240" w:lineRule="auto"/>
      </w:pPr>
      <w:r>
        <w:separator/>
      </w:r>
    </w:p>
  </w:footnote>
  <w:footnote w:type="continuationSeparator" w:id="0">
    <w:p w:rsidR="0076018A" w:rsidRDefault="007601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2B"/>
    <w:rsid w:val="0076018A"/>
    <w:rsid w:val="008D52AE"/>
    <w:rsid w:val="00C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38A94-2492-40CA-9974-55A9DC40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-sarai.ru/" TargetMode="External"/><Relationship Id="rId13" Type="http://schemas.openxmlformats.org/officeDocument/2006/relationships/hyperlink" Target="https://vk.com/video/@kinodebut62?z=video-192104679_456239070%2Fclub192104679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/@kinodebut62?z=video-192104679_456239034%2Fclub192104679" TargetMode="External"/><Relationship Id="rId12" Type="http://schemas.openxmlformats.org/officeDocument/2006/relationships/hyperlink" Target="http://dk-sarai.ru/" TargetMode="External"/><Relationship Id="rId17" Type="http://schemas.openxmlformats.org/officeDocument/2006/relationships/hyperlink" Target="http://dk-sara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k-sarai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video/@kinodebut62?z=video-192104679_456239023%2Fclub192104679" TargetMode="External"/><Relationship Id="rId11" Type="http://schemas.openxmlformats.org/officeDocument/2006/relationships/hyperlink" Target="http://dk-sarai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video/@kinodebut62?z=video-192104679_456239035%2Fclub192104679" TargetMode="External"/><Relationship Id="rId10" Type="http://schemas.openxmlformats.org/officeDocument/2006/relationships/hyperlink" Target="http://dk-sarai.r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k-sarai.ru/" TargetMode="External"/><Relationship Id="rId14" Type="http://schemas.openxmlformats.org/officeDocument/2006/relationships/hyperlink" Target="http://dk-sara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Site</cp:lastModifiedBy>
  <cp:revision>2</cp:revision>
  <dcterms:created xsi:type="dcterms:W3CDTF">2021-11-10T09:10:00Z</dcterms:created>
  <dcterms:modified xsi:type="dcterms:W3CDTF">2021-11-10T09:12:00Z</dcterms:modified>
</cp:coreProperties>
</file>